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9A" w:rsidRDefault="00B03B9A">
      <w:pPr>
        <w:jc w:val="center"/>
        <w:rPr>
          <w:b/>
          <w:sz w:val="22"/>
          <w:szCs w:val="22"/>
          <w:lang w:val="bg-BG"/>
        </w:rPr>
      </w:pPr>
      <w:bookmarkStart w:id="0" w:name="_GoBack"/>
      <w:bookmarkEnd w:id="0"/>
      <w:r>
        <w:rPr>
          <w:b/>
          <w:sz w:val="22"/>
          <w:szCs w:val="22"/>
          <w:lang w:val="bg-BG"/>
        </w:rPr>
        <w:t xml:space="preserve">ЕВРОПЕЙСКА КОНВЕНЦИЯ ЗА </w:t>
      </w:r>
      <w:r>
        <w:rPr>
          <w:b/>
          <w:caps/>
          <w:sz w:val="22"/>
          <w:szCs w:val="22"/>
          <w:lang w:val="bg-BG"/>
        </w:rPr>
        <w:t>компенсация на пострадали от насилствени престъпления</w:t>
      </w:r>
    </w:p>
    <w:p w:rsidR="00B03B9A" w:rsidRDefault="00B03B9A">
      <w:pPr>
        <w:jc w:val="center"/>
        <w:rPr>
          <w:b/>
          <w:sz w:val="22"/>
          <w:szCs w:val="22"/>
          <w:lang w:val="bg-BG"/>
        </w:rPr>
      </w:pPr>
    </w:p>
    <w:p w:rsidR="00B03B9A" w:rsidRDefault="00B03B9A">
      <w:pPr>
        <w:jc w:val="center"/>
        <w:rPr>
          <w:sz w:val="22"/>
          <w:szCs w:val="22"/>
          <w:lang w:val="bg-BG"/>
        </w:rPr>
      </w:pPr>
      <w:r>
        <w:rPr>
          <w:sz w:val="22"/>
          <w:szCs w:val="22"/>
          <w:lang w:val="bg-BG"/>
        </w:rPr>
        <w:t>Съставена в Страсбург на 24 ноември 1983 г.; влязла в сила на 1 юни 1990 г. – Публикувана с Указ № 90-447 от 29 май 1990 г.</w:t>
      </w:r>
    </w:p>
    <w:p w:rsidR="00B03B9A" w:rsidRDefault="00B03B9A">
      <w:pPr>
        <w:jc w:val="center"/>
        <w:rPr>
          <w:sz w:val="22"/>
          <w:szCs w:val="22"/>
          <w:lang w:val="bg-BG"/>
        </w:rPr>
      </w:pPr>
    </w:p>
    <w:p w:rsidR="00B03B9A" w:rsidRDefault="00B03B9A">
      <w:pPr>
        <w:pStyle w:val="Heading3"/>
        <w:jc w:val="left"/>
      </w:pPr>
    </w:p>
    <w:p w:rsidR="00B03B9A" w:rsidRDefault="00B03B9A">
      <w:pPr>
        <w:tabs>
          <w:tab w:val="left" w:pos="-720"/>
          <w:tab w:val="left" w:pos="0"/>
          <w:tab w:val="left" w:pos="432"/>
          <w:tab w:val="left" w:pos="864"/>
          <w:tab w:val="left" w:pos="1296"/>
          <w:tab w:val="left" w:pos="1728"/>
          <w:tab w:val="left" w:pos="1980"/>
          <w:tab w:val="left" w:pos="2160"/>
        </w:tabs>
        <w:ind w:left="864" w:hanging="864"/>
        <w:jc w:val="both"/>
        <w:rPr>
          <w:spacing w:val="-2"/>
          <w:kern w:val="2"/>
          <w:sz w:val="22"/>
        </w:rPr>
      </w:pPr>
      <w:r>
        <w:rPr>
          <w:spacing w:val="-2"/>
          <w:kern w:val="2"/>
          <w:sz w:val="22"/>
          <w:lang w:val="bg-BG"/>
        </w:rPr>
        <w:t>Държавите членки на Съвета на Европа</w:t>
      </w:r>
      <w:r>
        <w:rPr>
          <w:spacing w:val="-2"/>
          <w:kern w:val="2"/>
          <w:sz w:val="22"/>
        </w:rPr>
        <w:t xml:space="preserve">, </w:t>
      </w:r>
      <w:r>
        <w:rPr>
          <w:spacing w:val="-2"/>
          <w:kern w:val="2"/>
          <w:sz w:val="22"/>
          <w:lang w:val="bg-BG"/>
        </w:rPr>
        <w:t>страни по тази конвенция</w:t>
      </w:r>
      <w:r>
        <w:rPr>
          <w:spacing w:val="-2"/>
          <w:kern w:val="2"/>
          <w:sz w:val="22"/>
        </w:rPr>
        <w:t>,</w:t>
      </w:r>
      <w:r>
        <w:rPr>
          <w:spacing w:val="-2"/>
          <w:kern w:val="2"/>
          <w:sz w:val="22"/>
        </w:rPr>
        <w:fldChar w:fldCharType="begin"/>
      </w:r>
      <w:r>
        <w:rPr>
          <w:spacing w:val="-2"/>
          <w:kern w:val="2"/>
          <w:sz w:val="22"/>
        </w:rPr>
        <w:instrText xml:space="preserve">PRIVATE </w:instrText>
      </w:r>
      <w:r>
        <w:rPr>
          <w:spacing w:val="-2"/>
          <w:kern w:val="2"/>
          <w:sz w:val="22"/>
        </w:rPr>
      </w:r>
      <w:r>
        <w:rPr>
          <w:spacing w:val="-2"/>
          <w:kern w:val="2"/>
          <w:sz w:val="22"/>
        </w:rPr>
        <w:fldChar w:fldCharType="end"/>
      </w:r>
    </w:p>
    <w:p w:rsidR="00B03B9A" w:rsidRDefault="00B03B9A">
      <w:pPr>
        <w:tabs>
          <w:tab w:val="left" w:pos="-720"/>
          <w:tab w:val="left" w:pos="0"/>
          <w:tab w:val="left" w:pos="432"/>
          <w:tab w:val="left" w:pos="864"/>
          <w:tab w:val="left" w:pos="1296"/>
          <w:tab w:val="left" w:pos="1728"/>
          <w:tab w:val="left" w:pos="1980"/>
          <w:tab w:val="left" w:pos="2160"/>
        </w:tabs>
        <w:jc w:val="both"/>
        <w:rPr>
          <w:spacing w:val="-2"/>
          <w:kern w:val="2"/>
          <w:sz w:val="22"/>
        </w:rPr>
      </w:pPr>
    </w:p>
    <w:p w:rsidR="00B03B9A" w:rsidRDefault="00B03B9A">
      <w:pPr>
        <w:tabs>
          <w:tab w:val="left" w:pos="-720"/>
          <w:tab w:val="left" w:pos="0"/>
          <w:tab w:val="left" w:pos="432"/>
          <w:tab w:val="left" w:pos="864"/>
          <w:tab w:val="left" w:pos="1296"/>
          <w:tab w:val="left" w:pos="1728"/>
          <w:tab w:val="left" w:pos="1980"/>
          <w:tab w:val="left" w:pos="2160"/>
        </w:tabs>
        <w:ind w:left="864" w:hanging="864"/>
        <w:jc w:val="both"/>
        <w:rPr>
          <w:spacing w:val="-2"/>
          <w:kern w:val="2"/>
          <w:sz w:val="22"/>
        </w:rPr>
      </w:pPr>
      <w:r>
        <w:rPr>
          <w:spacing w:val="-2"/>
          <w:kern w:val="2"/>
          <w:sz w:val="22"/>
        </w:rPr>
        <w:tab/>
      </w:r>
      <w:r>
        <w:rPr>
          <w:spacing w:val="-2"/>
          <w:kern w:val="2"/>
          <w:sz w:val="22"/>
        </w:rPr>
        <w:tab/>
      </w:r>
      <w:r>
        <w:rPr>
          <w:spacing w:val="-2"/>
          <w:kern w:val="2"/>
          <w:sz w:val="22"/>
          <w:lang w:val="bg-BG"/>
        </w:rPr>
        <w:t>Като имат предвид целите на Съвета на Европа за постигане на по-голямо единство между членовете</w:t>
      </w:r>
      <w:r>
        <w:rPr>
          <w:spacing w:val="-2"/>
          <w:kern w:val="2"/>
          <w:sz w:val="22"/>
        </w:rPr>
        <w:t>;</w:t>
      </w:r>
    </w:p>
    <w:p w:rsidR="00B03B9A" w:rsidRDefault="00B03B9A">
      <w:pPr>
        <w:tabs>
          <w:tab w:val="left" w:pos="-720"/>
          <w:tab w:val="left" w:pos="0"/>
          <w:tab w:val="left" w:pos="432"/>
          <w:tab w:val="left" w:pos="864"/>
          <w:tab w:val="left" w:pos="1296"/>
          <w:tab w:val="left" w:pos="1728"/>
          <w:tab w:val="left" w:pos="1980"/>
          <w:tab w:val="left" w:pos="2160"/>
        </w:tabs>
        <w:jc w:val="both"/>
        <w:rPr>
          <w:spacing w:val="-2"/>
          <w:kern w:val="2"/>
          <w:sz w:val="22"/>
        </w:rPr>
      </w:pPr>
    </w:p>
    <w:p w:rsidR="00B03B9A" w:rsidRDefault="00B03B9A">
      <w:pPr>
        <w:tabs>
          <w:tab w:val="left" w:pos="-720"/>
          <w:tab w:val="left" w:pos="0"/>
          <w:tab w:val="left" w:pos="432"/>
          <w:tab w:val="left" w:pos="864"/>
          <w:tab w:val="left" w:pos="1296"/>
          <w:tab w:val="left" w:pos="1728"/>
          <w:tab w:val="left" w:pos="1980"/>
          <w:tab w:val="left" w:pos="2160"/>
        </w:tabs>
        <w:ind w:left="864" w:hanging="864"/>
        <w:jc w:val="both"/>
        <w:rPr>
          <w:spacing w:val="-2"/>
          <w:kern w:val="2"/>
          <w:sz w:val="22"/>
        </w:rPr>
      </w:pPr>
      <w:r>
        <w:rPr>
          <w:spacing w:val="-2"/>
          <w:kern w:val="2"/>
          <w:sz w:val="22"/>
        </w:rPr>
        <w:tab/>
      </w:r>
      <w:r>
        <w:rPr>
          <w:spacing w:val="-2"/>
          <w:kern w:val="2"/>
          <w:sz w:val="22"/>
        </w:rPr>
        <w:tab/>
      </w:r>
      <w:r>
        <w:rPr>
          <w:spacing w:val="-2"/>
          <w:kern w:val="2"/>
          <w:sz w:val="22"/>
          <w:lang w:val="bg-BG"/>
        </w:rPr>
        <w:t xml:space="preserve">Като имат предвид, че с оглед на равенството и социалната солидарност е необходимо да се предприемат действия във връзка с положението на пострадалите от умишлени насилствени престъпления, претърпели телесни повреди или увреждане на здравето, и зависимите материално от лица, починали в резултат от такива престъпления;  </w:t>
      </w:r>
    </w:p>
    <w:p w:rsidR="00B03B9A" w:rsidRDefault="00B03B9A">
      <w:pPr>
        <w:tabs>
          <w:tab w:val="left" w:pos="-720"/>
          <w:tab w:val="left" w:pos="0"/>
          <w:tab w:val="left" w:pos="432"/>
          <w:tab w:val="left" w:pos="864"/>
          <w:tab w:val="left" w:pos="1296"/>
          <w:tab w:val="left" w:pos="1728"/>
          <w:tab w:val="left" w:pos="1980"/>
          <w:tab w:val="left" w:pos="2160"/>
        </w:tabs>
        <w:jc w:val="both"/>
        <w:rPr>
          <w:spacing w:val="-2"/>
          <w:kern w:val="2"/>
          <w:sz w:val="22"/>
        </w:rPr>
      </w:pPr>
    </w:p>
    <w:p w:rsidR="00B03B9A" w:rsidRDefault="00B03B9A">
      <w:pPr>
        <w:tabs>
          <w:tab w:val="left" w:pos="-720"/>
          <w:tab w:val="left" w:pos="0"/>
          <w:tab w:val="left" w:pos="432"/>
          <w:tab w:val="left" w:pos="864"/>
          <w:tab w:val="left" w:pos="1296"/>
          <w:tab w:val="left" w:pos="1728"/>
          <w:tab w:val="left" w:pos="1980"/>
          <w:tab w:val="left" w:pos="2160"/>
        </w:tabs>
        <w:ind w:left="864" w:hanging="864"/>
        <w:jc w:val="both"/>
        <w:rPr>
          <w:spacing w:val="-2"/>
          <w:kern w:val="2"/>
          <w:sz w:val="22"/>
        </w:rPr>
      </w:pPr>
      <w:r>
        <w:rPr>
          <w:spacing w:val="-2"/>
          <w:kern w:val="2"/>
          <w:sz w:val="22"/>
        </w:rPr>
        <w:tab/>
      </w:r>
      <w:r>
        <w:rPr>
          <w:spacing w:val="-2"/>
          <w:kern w:val="2"/>
          <w:sz w:val="22"/>
        </w:rPr>
        <w:tab/>
      </w:r>
      <w:r>
        <w:rPr>
          <w:spacing w:val="-2"/>
          <w:kern w:val="2"/>
          <w:sz w:val="22"/>
          <w:lang w:val="bg-BG"/>
        </w:rPr>
        <w:t xml:space="preserve">Като имат предвид, че е необходимо да се въведат или развият схеми за обезщетяване на такива пострадали от държавата, на чиято територия са извършени престъпленията, особено когато не е установен извършителят или последният няма финансови средства; </w:t>
      </w:r>
    </w:p>
    <w:p w:rsidR="00B03B9A" w:rsidRDefault="00B03B9A">
      <w:pPr>
        <w:tabs>
          <w:tab w:val="left" w:pos="-720"/>
          <w:tab w:val="left" w:pos="0"/>
          <w:tab w:val="left" w:pos="432"/>
          <w:tab w:val="left" w:pos="864"/>
          <w:tab w:val="left" w:pos="1296"/>
          <w:tab w:val="left" w:pos="1728"/>
          <w:tab w:val="left" w:pos="1980"/>
          <w:tab w:val="left" w:pos="2160"/>
        </w:tabs>
        <w:jc w:val="both"/>
        <w:rPr>
          <w:spacing w:val="-2"/>
          <w:kern w:val="2"/>
          <w:sz w:val="22"/>
        </w:rPr>
      </w:pPr>
    </w:p>
    <w:p w:rsidR="00B03B9A" w:rsidRDefault="00B03B9A">
      <w:pPr>
        <w:tabs>
          <w:tab w:val="left" w:pos="-720"/>
          <w:tab w:val="left" w:pos="0"/>
          <w:tab w:val="left" w:pos="432"/>
          <w:tab w:val="left" w:pos="864"/>
          <w:tab w:val="left" w:pos="1296"/>
          <w:tab w:val="left" w:pos="1728"/>
          <w:tab w:val="left" w:pos="1980"/>
          <w:tab w:val="left" w:pos="2160"/>
        </w:tabs>
        <w:ind w:left="864" w:hanging="864"/>
        <w:jc w:val="both"/>
        <w:rPr>
          <w:spacing w:val="-2"/>
          <w:kern w:val="2"/>
          <w:sz w:val="22"/>
        </w:rPr>
      </w:pPr>
      <w:r>
        <w:rPr>
          <w:spacing w:val="-2"/>
          <w:kern w:val="2"/>
          <w:sz w:val="22"/>
        </w:rPr>
        <w:tab/>
      </w:r>
      <w:r>
        <w:rPr>
          <w:spacing w:val="-2"/>
          <w:kern w:val="2"/>
          <w:sz w:val="22"/>
        </w:rPr>
        <w:tab/>
      </w:r>
      <w:r>
        <w:rPr>
          <w:spacing w:val="-2"/>
          <w:kern w:val="2"/>
          <w:sz w:val="22"/>
          <w:lang w:val="bg-BG"/>
        </w:rPr>
        <w:t xml:space="preserve">Като имат предвид, че е необходимо да се определят минимални законови разпоредби в тази област; </w:t>
      </w:r>
    </w:p>
    <w:p w:rsidR="00B03B9A" w:rsidRDefault="00B03B9A">
      <w:pPr>
        <w:tabs>
          <w:tab w:val="left" w:pos="-720"/>
          <w:tab w:val="left" w:pos="0"/>
          <w:tab w:val="left" w:pos="432"/>
          <w:tab w:val="left" w:pos="864"/>
          <w:tab w:val="left" w:pos="1296"/>
          <w:tab w:val="left" w:pos="1728"/>
          <w:tab w:val="left" w:pos="1980"/>
          <w:tab w:val="left" w:pos="2160"/>
        </w:tabs>
        <w:jc w:val="both"/>
        <w:rPr>
          <w:spacing w:val="-2"/>
          <w:kern w:val="2"/>
          <w:sz w:val="22"/>
        </w:rPr>
      </w:pPr>
    </w:p>
    <w:p w:rsidR="00B03B9A" w:rsidRDefault="00B03B9A">
      <w:pPr>
        <w:tabs>
          <w:tab w:val="left" w:pos="-720"/>
          <w:tab w:val="left" w:pos="0"/>
          <w:tab w:val="left" w:pos="432"/>
          <w:tab w:val="left" w:pos="864"/>
          <w:tab w:val="left" w:pos="1296"/>
          <w:tab w:val="left" w:pos="1728"/>
          <w:tab w:val="left" w:pos="1980"/>
          <w:tab w:val="left" w:pos="2160"/>
        </w:tabs>
        <w:ind w:left="864" w:hanging="864"/>
        <w:jc w:val="both"/>
        <w:rPr>
          <w:spacing w:val="-2"/>
          <w:kern w:val="2"/>
          <w:sz w:val="22"/>
        </w:rPr>
      </w:pPr>
      <w:r>
        <w:rPr>
          <w:spacing w:val="-2"/>
          <w:kern w:val="2"/>
          <w:sz w:val="22"/>
        </w:rPr>
        <w:tab/>
      </w:r>
      <w:r>
        <w:rPr>
          <w:spacing w:val="-2"/>
          <w:kern w:val="2"/>
          <w:sz w:val="22"/>
        </w:rPr>
        <w:tab/>
      </w:r>
      <w:r>
        <w:rPr>
          <w:spacing w:val="-2"/>
          <w:kern w:val="2"/>
          <w:sz w:val="22"/>
          <w:lang w:val="bg-BG"/>
        </w:rPr>
        <w:t xml:space="preserve">Като се съобразяват с Резолюция </w:t>
      </w:r>
      <w:r>
        <w:rPr>
          <w:spacing w:val="-2"/>
          <w:kern w:val="2"/>
          <w:sz w:val="22"/>
        </w:rPr>
        <w:t xml:space="preserve">(77) 27 </w:t>
      </w:r>
      <w:r>
        <w:rPr>
          <w:spacing w:val="-2"/>
          <w:kern w:val="2"/>
          <w:sz w:val="22"/>
          <w:lang w:val="bg-BG"/>
        </w:rPr>
        <w:t>на</w:t>
      </w:r>
      <w:r>
        <w:rPr>
          <w:spacing w:val="-2"/>
          <w:kern w:val="2"/>
          <w:sz w:val="22"/>
        </w:rPr>
        <w:t xml:space="preserve"> </w:t>
      </w:r>
      <w:r>
        <w:rPr>
          <w:spacing w:val="-2"/>
          <w:kern w:val="2"/>
          <w:sz w:val="22"/>
          <w:lang w:val="bg-BG"/>
        </w:rPr>
        <w:t>Комитета на министрите на Съвета на Европа за обезщетяването на пострадали от престъпления</w:t>
      </w:r>
      <w:r>
        <w:rPr>
          <w:spacing w:val="-2"/>
          <w:kern w:val="2"/>
          <w:sz w:val="22"/>
        </w:rPr>
        <w:t>,</w:t>
      </w:r>
    </w:p>
    <w:p w:rsidR="00B03B9A" w:rsidRDefault="00B03B9A">
      <w:pPr>
        <w:tabs>
          <w:tab w:val="left" w:pos="-720"/>
          <w:tab w:val="left" w:pos="0"/>
          <w:tab w:val="left" w:pos="432"/>
          <w:tab w:val="left" w:pos="864"/>
          <w:tab w:val="left" w:pos="1296"/>
          <w:tab w:val="left" w:pos="1728"/>
          <w:tab w:val="left" w:pos="1980"/>
          <w:tab w:val="left" w:pos="2160"/>
        </w:tabs>
        <w:jc w:val="both"/>
        <w:rPr>
          <w:spacing w:val="-2"/>
          <w:kern w:val="2"/>
          <w:sz w:val="22"/>
        </w:rPr>
      </w:pPr>
    </w:p>
    <w:p w:rsidR="00B03B9A" w:rsidRDefault="00B03B9A">
      <w:pPr>
        <w:rPr>
          <w:sz w:val="22"/>
          <w:szCs w:val="22"/>
          <w:lang w:val="bg-BG"/>
        </w:rPr>
      </w:pPr>
      <w:r>
        <w:rPr>
          <w:spacing w:val="-2"/>
          <w:kern w:val="2"/>
          <w:sz w:val="22"/>
        </w:rPr>
        <w:tab/>
      </w:r>
      <w:r>
        <w:rPr>
          <w:spacing w:val="-2"/>
          <w:kern w:val="2"/>
          <w:sz w:val="22"/>
        </w:rPr>
        <w:tab/>
      </w:r>
      <w:r>
        <w:rPr>
          <w:spacing w:val="-2"/>
          <w:kern w:val="2"/>
          <w:sz w:val="22"/>
          <w:lang w:val="bg-BG"/>
        </w:rPr>
        <w:t>се договориха за следното</w:t>
      </w:r>
      <w:r>
        <w:rPr>
          <w:spacing w:val="-2"/>
          <w:kern w:val="2"/>
          <w:sz w:val="22"/>
        </w:rPr>
        <w:t>:</w:t>
      </w:r>
    </w:p>
    <w:p w:rsidR="00B03B9A" w:rsidRDefault="00B03B9A">
      <w:pPr>
        <w:jc w:val="center"/>
        <w:rPr>
          <w:sz w:val="22"/>
          <w:szCs w:val="22"/>
          <w:lang w:val="bg-BG"/>
        </w:rPr>
      </w:pPr>
    </w:p>
    <w:p w:rsidR="00B03B9A" w:rsidRDefault="00B03B9A">
      <w:pPr>
        <w:ind w:left="-180"/>
        <w:rPr>
          <w:b/>
          <w:bCs/>
          <w:sz w:val="22"/>
        </w:rPr>
      </w:pPr>
      <w:r>
        <w:tab/>
      </w:r>
      <w:r>
        <w:rPr>
          <w:b/>
          <w:bCs/>
          <w:sz w:val="22"/>
        </w:rPr>
        <w:t>Част І – Основни принципи</w:t>
      </w:r>
    </w:p>
    <w:p w:rsidR="00B03B9A" w:rsidRDefault="00B03B9A">
      <w:pPr>
        <w:jc w:val="both"/>
        <w:rPr>
          <w:b/>
          <w:sz w:val="22"/>
          <w:szCs w:val="22"/>
          <w:lang w:val="bg-BG"/>
        </w:rPr>
      </w:pPr>
    </w:p>
    <w:p w:rsidR="00B03B9A" w:rsidRDefault="00B03B9A">
      <w:pPr>
        <w:ind w:firstLine="708"/>
        <w:jc w:val="both"/>
        <w:rPr>
          <w:b/>
          <w:sz w:val="22"/>
          <w:szCs w:val="22"/>
          <w:lang w:val="bg-BG"/>
        </w:rPr>
      </w:pPr>
      <w:r>
        <w:rPr>
          <w:b/>
          <w:sz w:val="22"/>
          <w:szCs w:val="22"/>
          <w:lang w:val="bg-BG"/>
        </w:rPr>
        <w:t xml:space="preserve">Член 1 </w:t>
      </w:r>
    </w:p>
    <w:p w:rsidR="00B03B9A" w:rsidRDefault="00B03B9A">
      <w:pPr>
        <w:jc w:val="both"/>
        <w:rPr>
          <w:b/>
          <w:sz w:val="22"/>
          <w:szCs w:val="22"/>
          <w:lang w:val="bg-BG"/>
        </w:rPr>
      </w:pPr>
    </w:p>
    <w:p w:rsidR="00B03B9A" w:rsidRDefault="00B03B9A">
      <w:pPr>
        <w:pStyle w:val="BodyTextIndent"/>
      </w:pPr>
      <w:r>
        <w:t>Страните се задължават да предприемат необходимите мерки, за да бъдат приложени принципите, съдържащи се в част І на тази конвенция.</w:t>
      </w:r>
    </w:p>
    <w:p w:rsidR="00B03B9A" w:rsidRDefault="00B03B9A">
      <w:pPr>
        <w:jc w:val="both"/>
        <w:rPr>
          <w:sz w:val="22"/>
          <w:szCs w:val="22"/>
          <w:lang w:val="bg-BG"/>
        </w:rPr>
      </w:pPr>
    </w:p>
    <w:p w:rsidR="00B03B9A" w:rsidRDefault="00B03B9A">
      <w:pPr>
        <w:jc w:val="both"/>
        <w:rPr>
          <w:b/>
          <w:bCs/>
          <w:sz w:val="22"/>
          <w:szCs w:val="22"/>
          <w:lang w:val="bg-BG"/>
        </w:rPr>
      </w:pPr>
      <w:r>
        <w:rPr>
          <w:sz w:val="22"/>
          <w:szCs w:val="22"/>
          <w:lang w:val="bg-BG"/>
        </w:rPr>
        <w:tab/>
      </w:r>
      <w:r>
        <w:rPr>
          <w:b/>
          <w:bCs/>
          <w:sz w:val="22"/>
          <w:szCs w:val="22"/>
          <w:lang w:val="bg-BG"/>
        </w:rPr>
        <w:t xml:space="preserve">Член 2  </w:t>
      </w:r>
    </w:p>
    <w:p w:rsidR="00B03B9A" w:rsidRDefault="00B03B9A">
      <w:pPr>
        <w:jc w:val="both"/>
        <w:rPr>
          <w:b/>
          <w:bCs/>
          <w:sz w:val="22"/>
          <w:szCs w:val="22"/>
          <w:lang w:val="bg-BG"/>
        </w:rPr>
      </w:pPr>
    </w:p>
    <w:p w:rsidR="00B03B9A" w:rsidRDefault="00B03B9A">
      <w:pPr>
        <w:pStyle w:val="BodyTextIndent"/>
      </w:pPr>
      <w:r>
        <w:t>1. Когато компенсацията не може да се осигури изцяло от други източници, държавата трябва да даде своя принос в обезщетяването на:</w:t>
      </w:r>
    </w:p>
    <w:p w:rsidR="00B03B9A" w:rsidRDefault="00B03B9A">
      <w:pPr>
        <w:jc w:val="both"/>
        <w:rPr>
          <w:sz w:val="22"/>
          <w:szCs w:val="22"/>
          <w:lang w:val="bg-BG"/>
        </w:rPr>
      </w:pPr>
    </w:p>
    <w:p w:rsidR="00B03B9A" w:rsidRDefault="00B03B9A">
      <w:pPr>
        <w:numPr>
          <w:ilvl w:val="0"/>
          <w:numId w:val="2"/>
        </w:numPr>
        <w:tabs>
          <w:tab w:val="clear" w:pos="720"/>
          <w:tab w:val="num" w:pos="-360"/>
        </w:tabs>
        <w:ind w:firstLine="0"/>
        <w:jc w:val="both"/>
        <w:rPr>
          <w:sz w:val="22"/>
          <w:szCs w:val="22"/>
          <w:lang w:val="bg-BG"/>
        </w:rPr>
      </w:pPr>
      <w:r>
        <w:rPr>
          <w:sz w:val="22"/>
          <w:szCs w:val="22"/>
          <w:lang w:val="bg-BG"/>
        </w:rPr>
        <w:t>лица, които са претърпели тежки телесни вреди или увреждане на здравето като пряка последица от умишлено престъпно деяние, придружено с насилие;</w:t>
      </w:r>
    </w:p>
    <w:p w:rsidR="00B03B9A" w:rsidRDefault="00B03B9A">
      <w:pPr>
        <w:jc w:val="both"/>
        <w:rPr>
          <w:i/>
          <w:sz w:val="22"/>
          <w:szCs w:val="22"/>
          <w:lang w:val="bg-BG"/>
        </w:rPr>
      </w:pPr>
    </w:p>
    <w:p w:rsidR="00B03B9A" w:rsidRDefault="00B03B9A">
      <w:pPr>
        <w:numPr>
          <w:ilvl w:val="0"/>
          <w:numId w:val="2"/>
        </w:numPr>
        <w:ind w:firstLine="0"/>
        <w:jc w:val="both"/>
        <w:rPr>
          <w:sz w:val="22"/>
          <w:szCs w:val="22"/>
          <w:lang w:val="bg-BG"/>
        </w:rPr>
      </w:pPr>
      <w:r>
        <w:rPr>
          <w:sz w:val="22"/>
          <w:szCs w:val="22"/>
          <w:lang w:val="bg-BG"/>
        </w:rPr>
        <w:t>лица, които са били на издръжка на починалото в резултат на такова престъпление лице.</w:t>
      </w:r>
    </w:p>
    <w:p w:rsidR="00B03B9A" w:rsidRDefault="00B03B9A">
      <w:pPr>
        <w:jc w:val="both"/>
        <w:rPr>
          <w:sz w:val="22"/>
          <w:szCs w:val="22"/>
          <w:lang w:val="bg-BG"/>
        </w:rPr>
      </w:pPr>
    </w:p>
    <w:p w:rsidR="00B03B9A" w:rsidRDefault="00B03B9A">
      <w:pPr>
        <w:pStyle w:val="BodyText"/>
        <w:ind w:left="720" w:hanging="720"/>
      </w:pPr>
      <w:r>
        <w:tab/>
        <w:t>2. Предвиденото в предходната алинея обезщетяване се извършва дори ако извършителят не може да бъде преследван или наказан.</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3 </w:t>
      </w:r>
    </w:p>
    <w:p w:rsidR="00B03B9A" w:rsidRDefault="00B03B9A">
      <w:pPr>
        <w:jc w:val="both"/>
        <w:rPr>
          <w:b/>
          <w:sz w:val="22"/>
          <w:szCs w:val="22"/>
          <w:lang w:val="bg-BG"/>
        </w:rPr>
      </w:pPr>
    </w:p>
    <w:p w:rsidR="00B03B9A" w:rsidRDefault="00B03B9A">
      <w:pPr>
        <w:pStyle w:val="BodyTextIndent"/>
      </w:pPr>
      <w:r>
        <w:t>Държавата, на чиято територия е извършено престъплението, изплаща компенсация на:</w:t>
      </w:r>
    </w:p>
    <w:p w:rsidR="00B03B9A" w:rsidRDefault="00B03B9A">
      <w:pPr>
        <w:jc w:val="both"/>
        <w:rPr>
          <w:sz w:val="22"/>
          <w:szCs w:val="22"/>
          <w:lang w:val="bg-BG"/>
        </w:rPr>
      </w:pPr>
    </w:p>
    <w:p w:rsidR="00B03B9A" w:rsidRDefault="00B03B9A">
      <w:pPr>
        <w:numPr>
          <w:ilvl w:val="0"/>
          <w:numId w:val="3"/>
        </w:numPr>
        <w:ind w:firstLine="0"/>
        <w:jc w:val="both"/>
        <w:rPr>
          <w:sz w:val="22"/>
          <w:szCs w:val="22"/>
          <w:lang w:val="bg-BG"/>
        </w:rPr>
      </w:pPr>
      <w:r>
        <w:rPr>
          <w:sz w:val="22"/>
          <w:szCs w:val="22"/>
          <w:lang w:val="bg-BG"/>
        </w:rPr>
        <w:t>гражданите на държавите-страни по настоящата конвенция;</w:t>
      </w:r>
    </w:p>
    <w:p w:rsidR="00B03B9A" w:rsidRDefault="00B03B9A">
      <w:pPr>
        <w:jc w:val="both"/>
        <w:rPr>
          <w:i/>
          <w:sz w:val="22"/>
          <w:szCs w:val="22"/>
          <w:lang w:val="bg-BG"/>
        </w:rPr>
      </w:pPr>
    </w:p>
    <w:p w:rsidR="00B03B9A" w:rsidRDefault="00B03B9A">
      <w:pPr>
        <w:numPr>
          <w:ilvl w:val="0"/>
          <w:numId w:val="3"/>
        </w:numPr>
        <w:ind w:firstLine="0"/>
        <w:jc w:val="both"/>
        <w:rPr>
          <w:sz w:val="22"/>
          <w:szCs w:val="22"/>
          <w:lang w:val="bg-BG"/>
        </w:rPr>
      </w:pPr>
      <w:r>
        <w:rPr>
          <w:i/>
          <w:sz w:val="22"/>
          <w:szCs w:val="22"/>
          <w:lang w:val="bg-BG"/>
        </w:rPr>
        <w:t xml:space="preserve"> </w:t>
      </w:r>
      <w:r>
        <w:rPr>
          <w:sz w:val="22"/>
          <w:szCs w:val="22"/>
          <w:lang w:val="bg-BG"/>
        </w:rPr>
        <w:t>гражданите на всички държави членки на Съвета на Европа, които са с постоянно пребиваване в държавата, на чиято територия е извършено престъплението.</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4 </w:t>
      </w:r>
    </w:p>
    <w:p w:rsidR="00B03B9A" w:rsidRDefault="00B03B9A">
      <w:pPr>
        <w:jc w:val="both"/>
        <w:rPr>
          <w:b/>
          <w:sz w:val="22"/>
          <w:szCs w:val="22"/>
          <w:lang w:val="bg-BG"/>
        </w:rPr>
      </w:pPr>
    </w:p>
    <w:p w:rsidR="00B03B9A" w:rsidRDefault="00B03B9A">
      <w:pPr>
        <w:pStyle w:val="BodyTextIndent"/>
        <w:rPr>
          <w:b/>
        </w:rPr>
      </w:pPr>
      <w:r>
        <w:t xml:space="preserve">Компенсацията обхваща в зависимост от конкретния случай най-малко следните елементи на понесени вреди: загуба на доходи, медицински разходи и разходи за болничен престой, разходи за погребение, а за лицата, които са били материално зависими от пострадалия – загуба на издръжка. </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5 </w:t>
      </w:r>
    </w:p>
    <w:p w:rsidR="00B03B9A" w:rsidRDefault="00B03B9A">
      <w:pPr>
        <w:jc w:val="both"/>
        <w:rPr>
          <w:b/>
          <w:sz w:val="22"/>
          <w:szCs w:val="22"/>
          <w:lang w:val="bg-BG"/>
        </w:rPr>
      </w:pPr>
    </w:p>
    <w:p w:rsidR="00B03B9A" w:rsidRDefault="00B03B9A">
      <w:pPr>
        <w:pStyle w:val="BodyTextIndent"/>
        <w:rPr>
          <w:b/>
        </w:rPr>
      </w:pPr>
      <w:r>
        <w:t>При режима на обезщетяване може да се установи при нужда за цялата компенсация или за отделни елементи от нея, горен и долен праг, съответно над и под който да не се изплаща компенсация.</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6 </w:t>
      </w:r>
    </w:p>
    <w:p w:rsidR="00B03B9A" w:rsidRDefault="00B03B9A">
      <w:pPr>
        <w:jc w:val="both"/>
        <w:rPr>
          <w:b/>
          <w:sz w:val="22"/>
          <w:szCs w:val="22"/>
          <w:lang w:val="bg-BG"/>
        </w:rPr>
      </w:pPr>
    </w:p>
    <w:p w:rsidR="00B03B9A" w:rsidRDefault="00B03B9A">
      <w:pPr>
        <w:pStyle w:val="BodyTextIndent"/>
        <w:rPr>
          <w:b/>
        </w:rPr>
      </w:pPr>
      <w:r>
        <w:t>С режима на обезщетяване може да се определи срок, в който да се подават молби за обезщетяване.</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7 </w:t>
      </w:r>
    </w:p>
    <w:p w:rsidR="00B03B9A" w:rsidRDefault="00B03B9A">
      <w:pPr>
        <w:jc w:val="both"/>
        <w:rPr>
          <w:b/>
          <w:sz w:val="22"/>
          <w:szCs w:val="22"/>
          <w:lang w:val="bg-BG"/>
        </w:rPr>
      </w:pPr>
    </w:p>
    <w:p w:rsidR="00B03B9A" w:rsidRDefault="00B03B9A">
      <w:pPr>
        <w:pStyle w:val="BodyTextIndent"/>
      </w:pPr>
      <w:r>
        <w:t>Компенсацията може да се намали по размер или да се откаже с оглед на финансовото състояние на кандидата.</w:t>
      </w:r>
    </w:p>
    <w:p w:rsidR="00B03B9A" w:rsidRDefault="00B03B9A">
      <w:pPr>
        <w:jc w:val="both"/>
        <w:rPr>
          <w:b/>
          <w:sz w:val="22"/>
          <w:szCs w:val="22"/>
          <w:lang w:val="bg-BG"/>
        </w:rPr>
      </w:pPr>
      <w:r>
        <w:rPr>
          <w:b/>
          <w:sz w:val="22"/>
          <w:szCs w:val="22"/>
          <w:lang w:val="bg-BG"/>
        </w:rPr>
        <w:tab/>
      </w:r>
    </w:p>
    <w:p w:rsidR="00B03B9A" w:rsidRDefault="00B03B9A">
      <w:pPr>
        <w:jc w:val="both"/>
        <w:rPr>
          <w:b/>
          <w:sz w:val="22"/>
          <w:szCs w:val="22"/>
          <w:lang w:val="bg-BG"/>
        </w:rPr>
      </w:pPr>
      <w:r>
        <w:rPr>
          <w:b/>
          <w:sz w:val="22"/>
          <w:szCs w:val="22"/>
          <w:lang w:val="bg-BG"/>
        </w:rPr>
        <w:tab/>
        <w:t xml:space="preserve">Член 8  </w:t>
      </w:r>
    </w:p>
    <w:p w:rsidR="00B03B9A" w:rsidRDefault="00B03B9A">
      <w:pPr>
        <w:jc w:val="both"/>
        <w:rPr>
          <w:b/>
          <w:sz w:val="22"/>
          <w:szCs w:val="22"/>
          <w:lang w:val="bg-BG"/>
        </w:rPr>
      </w:pPr>
    </w:p>
    <w:p w:rsidR="00B03B9A" w:rsidRDefault="00B03B9A">
      <w:pPr>
        <w:numPr>
          <w:ilvl w:val="0"/>
          <w:numId w:val="4"/>
        </w:numPr>
        <w:tabs>
          <w:tab w:val="clear" w:pos="0"/>
          <w:tab w:val="num" w:pos="-360"/>
        </w:tabs>
        <w:ind w:left="720" w:firstLine="0"/>
        <w:jc w:val="both"/>
        <w:rPr>
          <w:sz w:val="22"/>
          <w:szCs w:val="22"/>
          <w:lang w:val="bg-BG"/>
        </w:rPr>
      </w:pPr>
      <w:r>
        <w:rPr>
          <w:sz w:val="22"/>
          <w:szCs w:val="22"/>
          <w:lang w:val="bg-BG"/>
        </w:rPr>
        <w:t>Компенсацията може да се намали по размер или да се прекрати поради поведението на пострадали или кандидата преди, по време или след престъплението или във връзка с причинената вреда или смърт.</w:t>
      </w:r>
    </w:p>
    <w:p w:rsidR="00B03B9A" w:rsidRDefault="00B03B9A">
      <w:pPr>
        <w:ind w:left="720"/>
        <w:jc w:val="both"/>
        <w:rPr>
          <w:sz w:val="22"/>
          <w:szCs w:val="22"/>
          <w:lang w:val="bg-BG"/>
        </w:rPr>
      </w:pPr>
    </w:p>
    <w:p w:rsidR="00B03B9A" w:rsidRDefault="00B03B9A">
      <w:pPr>
        <w:numPr>
          <w:ilvl w:val="0"/>
          <w:numId w:val="4"/>
        </w:numPr>
        <w:ind w:left="720" w:firstLine="0"/>
        <w:jc w:val="both"/>
        <w:rPr>
          <w:sz w:val="22"/>
          <w:szCs w:val="22"/>
          <w:lang w:val="bg-BG"/>
        </w:rPr>
      </w:pPr>
      <w:r>
        <w:rPr>
          <w:sz w:val="22"/>
          <w:szCs w:val="22"/>
          <w:lang w:val="bg-BG"/>
        </w:rPr>
        <w:t>Компенсацията може също да се намали по размер или откаже поради участие на пострадалия или кандидата в организирана престъпна група или организация, която извършва насилствени престъпления.</w:t>
      </w:r>
    </w:p>
    <w:p w:rsidR="00B03B9A" w:rsidRDefault="00B03B9A">
      <w:pPr>
        <w:ind w:left="720"/>
        <w:jc w:val="both"/>
        <w:rPr>
          <w:sz w:val="22"/>
          <w:szCs w:val="22"/>
          <w:lang w:val="bg-BG"/>
        </w:rPr>
      </w:pPr>
    </w:p>
    <w:p w:rsidR="00B03B9A" w:rsidRDefault="00B03B9A">
      <w:pPr>
        <w:numPr>
          <w:ilvl w:val="0"/>
          <w:numId w:val="4"/>
        </w:numPr>
        <w:ind w:left="720" w:firstLine="0"/>
        <w:jc w:val="both"/>
        <w:rPr>
          <w:sz w:val="22"/>
          <w:szCs w:val="22"/>
          <w:lang w:val="bg-BG"/>
        </w:rPr>
      </w:pPr>
      <w:r>
        <w:rPr>
          <w:sz w:val="22"/>
          <w:szCs w:val="22"/>
          <w:lang w:val="bg-BG"/>
        </w:rPr>
        <w:t>Компенсацията може също така да се намали по размер или откаже, в случай че пълна или частична компенсацията би противоречала на същността на правосъдието или на обществения ред.</w:t>
      </w:r>
    </w:p>
    <w:p w:rsidR="00B03B9A" w:rsidRDefault="00B03B9A">
      <w:pPr>
        <w:jc w:val="both"/>
        <w:rPr>
          <w:b/>
          <w:sz w:val="22"/>
          <w:szCs w:val="22"/>
          <w:lang w:val="bg-BG"/>
        </w:rPr>
      </w:pP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9 </w:t>
      </w:r>
    </w:p>
    <w:p w:rsidR="00B03B9A" w:rsidRDefault="00B03B9A">
      <w:pPr>
        <w:jc w:val="both"/>
        <w:rPr>
          <w:b/>
          <w:sz w:val="22"/>
          <w:szCs w:val="22"/>
          <w:lang w:val="bg-BG"/>
        </w:rPr>
      </w:pPr>
    </w:p>
    <w:p w:rsidR="00B03B9A" w:rsidRDefault="00B03B9A">
      <w:pPr>
        <w:pStyle w:val="BodyTextIndent"/>
        <w:rPr>
          <w:b/>
        </w:rPr>
      </w:pPr>
      <w:r>
        <w:t>За да се предотврати двойно обезщетяване, държавата или компетентният орган може да приспадне от предоставената компенсация или да изиска обратно от обезщетеното лице всяка сума, получена от извършителя във връзка с понесената вреда, от социално осигуряване, застраховка или от друг източник.</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10 </w:t>
      </w:r>
    </w:p>
    <w:p w:rsidR="00B03B9A" w:rsidRDefault="00B03B9A">
      <w:pPr>
        <w:jc w:val="both"/>
        <w:rPr>
          <w:b/>
          <w:sz w:val="22"/>
          <w:szCs w:val="22"/>
          <w:lang w:val="bg-BG"/>
        </w:rPr>
      </w:pPr>
    </w:p>
    <w:p w:rsidR="00B03B9A" w:rsidRDefault="00B03B9A">
      <w:pPr>
        <w:pStyle w:val="BodyTextIndent"/>
      </w:pPr>
      <w:r>
        <w:t>Държавата или компетентният орган може да бъде суброгиран(а) в правата на обезщетеното лице до размера на изплатената сума.</w:t>
      </w:r>
    </w:p>
    <w:p w:rsidR="00B03B9A" w:rsidRDefault="00B03B9A">
      <w:pPr>
        <w:jc w:val="both"/>
        <w:rPr>
          <w:b/>
          <w:sz w:val="22"/>
          <w:szCs w:val="22"/>
          <w:lang w:val="bg-BG"/>
        </w:rPr>
      </w:pPr>
    </w:p>
    <w:p w:rsidR="00B03B9A" w:rsidRDefault="00B03B9A">
      <w:pPr>
        <w:jc w:val="both"/>
        <w:rPr>
          <w:b/>
          <w:sz w:val="22"/>
          <w:szCs w:val="22"/>
          <w:lang w:val="bg-BG"/>
        </w:rPr>
      </w:pPr>
      <w:r>
        <w:rPr>
          <w:b/>
          <w:sz w:val="22"/>
          <w:szCs w:val="22"/>
          <w:lang w:val="bg-BG"/>
        </w:rPr>
        <w:tab/>
        <w:t xml:space="preserve">Член 11 </w:t>
      </w:r>
    </w:p>
    <w:p w:rsidR="00B03B9A" w:rsidRDefault="00B03B9A">
      <w:pPr>
        <w:jc w:val="both"/>
        <w:rPr>
          <w:b/>
          <w:sz w:val="22"/>
          <w:szCs w:val="22"/>
          <w:lang w:val="bg-BG"/>
        </w:rPr>
      </w:pPr>
    </w:p>
    <w:p w:rsidR="00B03B9A" w:rsidRDefault="00B03B9A">
      <w:pPr>
        <w:pStyle w:val="BodyTextIndent"/>
      </w:pPr>
      <w:r>
        <w:t>Страните се задължават да предприемат необходимите мерки, за да се предостави на потенциалните кандидати информация за режима на обезщетяване.</w:t>
      </w:r>
    </w:p>
    <w:p w:rsidR="00B03B9A" w:rsidRDefault="00B03B9A">
      <w:pPr>
        <w:jc w:val="both"/>
        <w:rPr>
          <w:sz w:val="22"/>
          <w:szCs w:val="22"/>
          <w:lang w:val="bg-BG"/>
        </w:rPr>
      </w:pPr>
    </w:p>
    <w:p w:rsidR="00B03B9A" w:rsidRPr="003F2970" w:rsidRDefault="00B03B9A">
      <w:pPr>
        <w:jc w:val="both"/>
        <w:rPr>
          <w:sz w:val="22"/>
          <w:szCs w:val="22"/>
          <w:lang w:val="bg-BG"/>
        </w:rPr>
      </w:pPr>
      <w:r>
        <w:rPr>
          <w:sz w:val="22"/>
          <w:szCs w:val="22"/>
          <w:lang w:val="bg-BG"/>
        </w:rPr>
        <w:tab/>
      </w:r>
    </w:p>
    <w:p w:rsidR="00B03B9A" w:rsidRDefault="00B03B9A">
      <w:pPr>
        <w:pStyle w:val="Heading1"/>
      </w:pPr>
      <w:r>
        <w:t xml:space="preserve">Част ІІ –Международно сътрудничество </w:t>
      </w:r>
    </w:p>
    <w:p w:rsidR="00B03B9A" w:rsidRDefault="00B03B9A">
      <w:pPr>
        <w:ind w:firstLine="708"/>
        <w:jc w:val="both"/>
        <w:rPr>
          <w:b/>
          <w:bCs/>
          <w:sz w:val="22"/>
          <w:szCs w:val="22"/>
          <w:lang w:val="bg-BG"/>
        </w:rPr>
      </w:pPr>
    </w:p>
    <w:p w:rsidR="00B03B9A" w:rsidRDefault="00B03B9A">
      <w:pPr>
        <w:ind w:firstLine="708"/>
        <w:jc w:val="both"/>
        <w:rPr>
          <w:b/>
          <w:bCs/>
          <w:sz w:val="22"/>
          <w:szCs w:val="22"/>
          <w:lang w:val="bg-BG"/>
        </w:rPr>
      </w:pPr>
      <w:r>
        <w:rPr>
          <w:b/>
          <w:bCs/>
          <w:sz w:val="22"/>
          <w:szCs w:val="22"/>
          <w:lang w:val="bg-BG"/>
        </w:rPr>
        <w:t>Член 12</w:t>
      </w:r>
      <w:r>
        <w:rPr>
          <w:b/>
          <w:bCs/>
          <w:sz w:val="22"/>
          <w:szCs w:val="22"/>
          <w:lang w:val="bg-BG"/>
        </w:rPr>
        <w:tab/>
      </w:r>
    </w:p>
    <w:p w:rsidR="00B03B9A" w:rsidRDefault="00B03B9A">
      <w:pPr>
        <w:ind w:firstLine="708"/>
        <w:jc w:val="both"/>
        <w:rPr>
          <w:b/>
          <w:bCs/>
          <w:sz w:val="22"/>
          <w:szCs w:val="22"/>
          <w:lang w:val="bg-BG"/>
        </w:rPr>
      </w:pPr>
    </w:p>
    <w:p w:rsidR="00B03B9A" w:rsidRDefault="00B03B9A">
      <w:pPr>
        <w:pStyle w:val="BodyTextIndent2"/>
      </w:pPr>
      <w:r>
        <w:t xml:space="preserve">По силата на двустранни и многостранни споразумения за взаимопомощ, сключени между държавите-страни по Конвенцията, компетентните органи на всяка от тях предоставя по искане на съответните органи на друга държава-страна максималната възможна помощ във връзка с въпросите, уредени в тази конвенция. За тази цел всяка държава-страна определя централен орган, който да получава молби за такава помощ и предприема действия по тях, както и да уведоми за него Генералния секретар на Съвета на Европа, когато депозира документите за ратификация, приемане, одобряване или присъединяване. </w:t>
      </w:r>
    </w:p>
    <w:p w:rsidR="00B03B9A" w:rsidRDefault="00B03B9A">
      <w:pPr>
        <w:ind w:firstLine="708"/>
        <w:jc w:val="both"/>
        <w:rPr>
          <w:sz w:val="22"/>
          <w:szCs w:val="22"/>
          <w:lang w:val="bg-BG"/>
        </w:rPr>
      </w:pPr>
    </w:p>
    <w:p w:rsidR="00B03B9A" w:rsidRDefault="00B03B9A">
      <w:pPr>
        <w:pStyle w:val="Heading2"/>
      </w:pPr>
      <w:r>
        <w:t xml:space="preserve">Член </w:t>
      </w:r>
      <w:r>
        <w:t xml:space="preserve">13 </w:t>
      </w:r>
    </w:p>
    <w:p w:rsidR="00B03B9A" w:rsidRDefault="00B03B9A">
      <w:pPr>
        <w:rPr>
          <w:sz w:val="22"/>
          <w:lang w:val="bg-BG"/>
        </w:rPr>
      </w:pPr>
    </w:p>
    <w:p w:rsidR="00B03B9A" w:rsidRDefault="00B03B9A">
      <w:pPr>
        <w:numPr>
          <w:ilvl w:val="0"/>
          <w:numId w:val="5"/>
        </w:numPr>
        <w:ind w:left="720" w:firstLine="0"/>
        <w:jc w:val="both"/>
        <w:rPr>
          <w:sz w:val="22"/>
          <w:szCs w:val="22"/>
          <w:lang w:val="bg-BG"/>
        </w:rPr>
      </w:pPr>
      <w:r>
        <w:rPr>
          <w:sz w:val="22"/>
          <w:szCs w:val="22"/>
          <w:lang w:val="bg-BG"/>
        </w:rPr>
        <w:t>На Европейския комитет по въпросите на престъпността към Съвета на Европа се предоставя информация във връзка с прилагането на Конвенцията.</w:t>
      </w:r>
    </w:p>
    <w:p w:rsidR="00B03B9A" w:rsidRDefault="00B03B9A">
      <w:pPr>
        <w:ind w:left="720"/>
        <w:jc w:val="both"/>
        <w:rPr>
          <w:sz w:val="22"/>
          <w:szCs w:val="22"/>
          <w:lang w:val="bg-BG"/>
        </w:rPr>
      </w:pPr>
    </w:p>
    <w:p w:rsidR="00B03B9A" w:rsidRDefault="00B03B9A">
      <w:pPr>
        <w:numPr>
          <w:ilvl w:val="0"/>
          <w:numId w:val="5"/>
        </w:numPr>
        <w:ind w:left="720" w:firstLine="0"/>
        <w:jc w:val="both"/>
        <w:rPr>
          <w:sz w:val="22"/>
          <w:szCs w:val="22"/>
          <w:lang w:val="bg-BG"/>
        </w:rPr>
      </w:pPr>
      <w:r>
        <w:rPr>
          <w:sz w:val="22"/>
          <w:szCs w:val="22"/>
          <w:lang w:val="bg-BG"/>
        </w:rPr>
        <w:t>За тази цел всяка страна представя на Генералния секретар на Съвета на Европа всякаква важна информация относно законови разпоредби по въпросите, уредени в Конвенцията.</w:t>
      </w:r>
    </w:p>
    <w:p w:rsidR="00B03B9A" w:rsidRDefault="00B03B9A">
      <w:pPr>
        <w:jc w:val="both"/>
        <w:rPr>
          <w:sz w:val="22"/>
          <w:szCs w:val="22"/>
          <w:lang w:val="bg-BG"/>
        </w:rPr>
      </w:pPr>
    </w:p>
    <w:p w:rsidR="00B03B9A" w:rsidRDefault="00B03B9A">
      <w:pPr>
        <w:pStyle w:val="Heading1"/>
      </w:pPr>
      <w:r>
        <w:t>Част ІІІ – Заключителни разпоредби</w:t>
      </w:r>
    </w:p>
    <w:p w:rsidR="00B03B9A" w:rsidRDefault="00B03B9A">
      <w:pPr>
        <w:jc w:val="both"/>
        <w:rPr>
          <w:sz w:val="22"/>
          <w:szCs w:val="22"/>
          <w:lang w:val="bg-BG"/>
        </w:rPr>
      </w:pPr>
    </w:p>
    <w:p w:rsidR="00B03B9A" w:rsidRDefault="00B03B9A">
      <w:pPr>
        <w:pStyle w:val="Heading2"/>
      </w:pPr>
      <w:r>
        <w:t xml:space="preserve">Член 14  </w:t>
      </w:r>
    </w:p>
    <w:p w:rsidR="00B03B9A" w:rsidRDefault="00B03B9A">
      <w:pPr>
        <w:ind w:firstLine="708"/>
        <w:jc w:val="both"/>
        <w:rPr>
          <w:sz w:val="22"/>
          <w:szCs w:val="22"/>
          <w:lang w:val="bg-BG"/>
        </w:rPr>
      </w:pPr>
    </w:p>
    <w:p w:rsidR="00B03B9A" w:rsidRDefault="00B03B9A">
      <w:pPr>
        <w:pStyle w:val="BodyTextIndent"/>
      </w:pPr>
      <w:r>
        <w:t>Тази конвенция е отворена на подпис от държавите членки на Съвета на Европа. Тя подлежи на ратификация, приемане или одобряване. Документите за ратификацията, приемането или одобряването се депозират пред Генералния секретар на Съвета на Европа.</w:t>
      </w:r>
    </w:p>
    <w:p w:rsidR="00B03B9A" w:rsidRDefault="00B03B9A">
      <w:pPr>
        <w:jc w:val="both"/>
        <w:rPr>
          <w:sz w:val="22"/>
          <w:szCs w:val="22"/>
          <w:lang w:val="bg-BG"/>
        </w:rPr>
      </w:pPr>
    </w:p>
    <w:p w:rsidR="00B03B9A" w:rsidRDefault="00B03B9A">
      <w:pPr>
        <w:pStyle w:val="Heading1"/>
        <w:ind w:left="720"/>
      </w:pPr>
      <w:r>
        <w:t>Член 15</w:t>
      </w:r>
    </w:p>
    <w:p w:rsidR="00B03B9A" w:rsidRDefault="00B03B9A">
      <w:pPr>
        <w:jc w:val="both"/>
        <w:rPr>
          <w:sz w:val="22"/>
          <w:szCs w:val="22"/>
          <w:lang w:val="bg-BG"/>
        </w:rPr>
      </w:pPr>
    </w:p>
    <w:p w:rsidR="00B03B9A" w:rsidRDefault="00B03B9A">
      <w:pPr>
        <w:numPr>
          <w:ilvl w:val="0"/>
          <w:numId w:val="6"/>
        </w:numPr>
        <w:ind w:firstLine="0"/>
        <w:jc w:val="both"/>
        <w:rPr>
          <w:sz w:val="22"/>
          <w:szCs w:val="22"/>
          <w:lang w:val="bg-BG"/>
        </w:rPr>
      </w:pPr>
      <w:r>
        <w:rPr>
          <w:sz w:val="22"/>
          <w:szCs w:val="22"/>
          <w:lang w:val="bg-BG"/>
        </w:rPr>
        <w:lastRenderedPageBreak/>
        <w:t>Тази конвенция влиза в сила на първия ден на месеца след изтичане на тримесечния срок след датата, на която три държави членки на Съвета на Европа са изразили съгласието си да изпълняват Конвенцията в съответствие с разпоредбите на чл. 14.</w:t>
      </w:r>
    </w:p>
    <w:p w:rsidR="00B03B9A" w:rsidRDefault="00B03B9A">
      <w:pPr>
        <w:jc w:val="both"/>
        <w:rPr>
          <w:sz w:val="22"/>
          <w:szCs w:val="22"/>
          <w:lang w:val="bg-BG"/>
        </w:rPr>
      </w:pPr>
    </w:p>
    <w:p w:rsidR="00B03B9A" w:rsidRDefault="00B03B9A">
      <w:pPr>
        <w:numPr>
          <w:ilvl w:val="0"/>
          <w:numId w:val="6"/>
        </w:numPr>
        <w:ind w:firstLine="0"/>
        <w:jc w:val="both"/>
        <w:rPr>
          <w:sz w:val="22"/>
          <w:szCs w:val="22"/>
          <w:lang w:val="bg-BG"/>
        </w:rPr>
      </w:pPr>
      <w:r>
        <w:rPr>
          <w:sz w:val="22"/>
          <w:szCs w:val="22"/>
          <w:lang w:val="bg-BG"/>
        </w:rPr>
        <w:t>За държавите членки, които впоследствие изразят съгласието си да изпълняват Конвенцията, тя влиза в сила на първия ден след изтичане на тримесечния срок след датата на депозиране на документите за ратификация, приемане или одобряване.</w:t>
      </w:r>
    </w:p>
    <w:p w:rsidR="00B03B9A" w:rsidRDefault="00B03B9A">
      <w:pPr>
        <w:jc w:val="both"/>
        <w:rPr>
          <w:sz w:val="22"/>
          <w:szCs w:val="22"/>
          <w:lang w:val="bg-BG"/>
        </w:rPr>
      </w:pPr>
    </w:p>
    <w:p w:rsidR="00B03B9A" w:rsidRDefault="00B03B9A">
      <w:pPr>
        <w:pStyle w:val="Heading1"/>
        <w:ind w:firstLine="360"/>
      </w:pPr>
      <w:r>
        <w:t>Член 16</w:t>
      </w:r>
    </w:p>
    <w:p w:rsidR="00B03B9A" w:rsidRDefault="00B03B9A">
      <w:pPr>
        <w:jc w:val="both"/>
        <w:rPr>
          <w:sz w:val="22"/>
          <w:szCs w:val="22"/>
          <w:lang w:val="bg-BG"/>
        </w:rPr>
      </w:pPr>
    </w:p>
    <w:p w:rsidR="00B03B9A" w:rsidRDefault="00B03B9A">
      <w:pPr>
        <w:numPr>
          <w:ilvl w:val="0"/>
          <w:numId w:val="7"/>
        </w:numPr>
        <w:jc w:val="both"/>
        <w:rPr>
          <w:sz w:val="22"/>
          <w:szCs w:val="22"/>
          <w:lang w:val="bg-BG"/>
        </w:rPr>
      </w:pPr>
      <w:r>
        <w:rPr>
          <w:sz w:val="22"/>
          <w:szCs w:val="22"/>
          <w:lang w:val="bg-BG"/>
        </w:rPr>
        <w:t>След влизане в сила на тази конвенция Комитетът на министрите на Съвета на Европа може да покани всяка държава, която не е член на Съвета на Европа, да се присъедини към тази конвенция по силата на решение, взето от мнозинството, определено в чл. 20(г) на Статута на Съвета на Европа, и единодушно гласуване на представителите на държавите-страни по Конвенцията с право на участие в Комитета.</w:t>
      </w:r>
    </w:p>
    <w:p w:rsidR="00B03B9A" w:rsidRDefault="00B03B9A">
      <w:pPr>
        <w:jc w:val="both"/>
        <w:rPr>
          <w:sz w:val="22"/>
          <w:szCs w:val="22"/>
          <w:lang w:val="bg-BG"/>
        </w:rPr>
      </w:pPr>
    </w:p>
    <w:p w:rsidR="00B03B9A" w:rsidRDefault="00B03B9A">
      <w:pPr>
        <w:numPr>
          <w:ilvl w:val="0"/>
          <w:numId w:val="7"/>
        </w:numPr>
        <w:jc w:val="both"/>
        <w:rPr>
          <w:sz w:val="22"/>
          <w:szCs w:val="22"/>
          <w:lang w:val="bg-BG"/>
        </w:rPr>
      </w:pPr>
      <w:r>
        <w:rPr>
          <w:sz w:val="22"/>
          <w:szCs w:val="22"/>
          <w:lang w:val="bg-BG"/>
        </w:rPr>
        <w:t>За всяка присъединяваща се държава Конвенцията влиза в сила на първия ден на месеца след изтичане на тримесечния срок след датата на депозиране на документите за присъединяване пред Генералния секретар на Съвета на Европа.</w:t>
      </w:r>
    </w:p>
    <w:p w:rsidR="00B03B9A" w:rsidRDefault="00B03B9A">
      <w:pPr>
        <w:jc w:val="both"/>
        <w:rPr>
          <w:sz w:val="22"/>
          <w:szCs w:val="22"/>
          <w:lang w:val="bg-BG"/>
        </w:rPr>
      </w:pPr>
    </w:p>
    <w:p w:rsidR="00B03B9A" w:rsidRDefault="00B03B9A">
      <w:pPr>
        <w:pStyle w:val="Heading1"/>
        <w:ind w:firstLine="360"/>
      </w:pPr>
      <w:r>
        <w:t>Член 17</w:t>
      </w:r>
    </w:p>
    <w:p w:rsidR="00B03B9A" w:rsidRDefault="00B03B9A">
      <w:pPr>
        <w:jc w:val="both"/>
        <w:rPr>
          <w:sz w:val="22"/>
          <w:szCs w:val="22"/>
          <w:lang w:val="bg-BG"/>
        </w:rPr>
      </w:pPr>
    </w:p>
    <w:p w:rsidR="00B03B9A" w:rsidRDefault="00B03B9A">
      <w:pPr>
        <w:pStyle w:val="BodyTextIndent3"/>
      </w:pPr>
      <w:r>
        <w:t>Генералният секретар на Съвета на Европа уведомява държавите членки на Съвета и всяка държава, присъединила се към тази конвенция, относно:</w:t>
      </w:r>
    </w:p>
    <w:p w:rsidR="00B03B9A" w:rsidRDefault="00B03B9A">
      <w:pPr>
        <w:jc w:val="both"/>
        <w:rPr>
          <w:sz w:val="22"/>
          <w:szCs w:val="22"/>
          <w:lang w:val="bg-BG"/>
        </w:rPr>
      </w:pPr>
    </w:p>
    <w:p w:rsidR="00B03B9A" w:rsidRDefault="00B03B9A">
      <w:pPr>
        <w:numPr>
          <w:ilvl w:val="0"/>
          <w:numId w:val="8"/>
        </w:numPr>
        <w:jc w:val="both"/>
        <w:rPr>
          <w:sz w:val="22"/>
          <w:szCs w:val="22"/>
          <w:lang w:val="bg-BG"/>
        </w:rPr>
      </w:pPr>
      <w:r>
        <w:rPr>
          <w:sz w:val="22"/>
          <w:szCs w:val="22"/>
          <w:lang w:val="bg-BG"/>
        </w:rPr>
        <w:t>всяко подписване;</w:t>
      </w:r>
    </w:p>
    <w:p w:rsidR="00B03B9A" w:rsidRDefault="00B03B9A">
      <w:pPr>
        <w:jc w:val="both"/>
        <w:rPr>
          <w:sz w:val="22"/>
          <w:szCs w:val="22"/>
          <w:lang w:val="bg-BG"/>
        </w:rPr>
      </w:pPr>
    </w:p>
    <w:p w:rsidR="00B03B9A" w:rsidRDefault="00B03B9A">
      <w:pPr>
        <w:numPr>
          <w:ilvl w:val="0"/>
          <w:numId w:val="8"/>
        </w:numPr>
        <w:jc w:val="both"/>
        <w:rPr>
          <w:sz w:val="22"/>
          <w:szCs w:val="22"/>
          <w:lang w:val="bg-BG"/>
        </w:rPr>
      </w:pPr>
      <w:r>
        <w:rPr>
          <w:sz w:val="22"/>
          <w:szCs w:val="22"/>
          <w:lang w:val="bg-BG"/>
        </w:rPr>
        <w:t>депозиране на документи за ратификация, приемане, одобряване или присъединяване;</w:t>
      </w:r>
    </w:p>
    <w:p w:rsidR="00B03B9A" w:rsidRDefault="00B03B9A">
      <w:pPr>
        <w:jc w:val="both"/>
        <w:rPr>
          <w:sz w:val="22"/>
          <w:szCs w:val="22"/>
          <w:lang w:val="bg-BG"/>
        </w:rPr>
      </w:pPr>
    </w:p>
    <w:p w:rsidR="00B03B9A" w:rsidRDefault="00B03B9A">
      <w:pPr>
        <w:numPr>
          <w:ilvl w:val="0"/>
          <w:numId w:val="8"/>
        </w:numPr>
        <w:jc w:val="both"/>
        <w:rPr>
          <w:sz w:val="22"/>
          <w:szCs w:val="22"/>
          <w:lang w:val="bg-BG"/>
        </w:rPr>
      </w:pPr>
      <w:r>
        <w:rPr>
          <w:sz w:val="22"/>
          <w:szCs w:val="22"/>
          <w:lang w:val="bg-BG"/>
        </w:rPr>
        <w:t>всяка на влизане в сила на тази конвенция в съответствие с членове 15, 16 и 17;</w:t>
      </w:r>
    </w:p>
    <w:p w:rsidR="00B03B9A" w:rsidRDefault="00B03B9A">
      <w:pPr>
        <w:jc w:val="both"/>
        <w:rPr>
          <w:sz w:val="22"/>
          <w:szCs w:val="22"/>
          <w:lang w:val="bg-BG"/>
        </w:rPr>
      </w:pPr>
    </w:p>
    <w:p w:rsidR="00B03B9A" w:rsidRDefault="00B03B9A">
      <w:pPr>
        <w:numPr>
          <w:ilvl w:val="0"/>
          <w:numId w:val="8"/>
        </w:numPr>
        <w:jc w:val="both"/>
        <w:rPr>
          <w:sz w:val="22"/>
          <w:szCs w:val="22"/>
          <w:lang w:val="bg-BG"/>
        </w:rPr>
      </w:pPr>
      <w:r>
        <w:rPr>
          <w:sz w:val="22"/>
          <w:szCs w:val="22"/>
          <w:lang w:val="bg-BG"/>
        </w:rPr>
        <w:t>всеки друг акт, уведомление или съобщение във връзка с тази конвенция;</w:t>
      </w:r>
    </w:p>
    <w:p w:rsidR="00B03B9A" w:rsidRDefault="00B03B9A">
      <w:pPr>
        <w:jc w:val="both"/>
        <w:rPr>
          <w:sz w:val="22"/>
          <w:szCs w:val="22"/>
          <w:lang w:val="bg-BG"/>
        </w:rPr>
      </w:pPr>
    </w:p>
    <w:p w:rsidR="00B03B9A" w:rsidRDefault="00B03B9A">
      <w:pPr>
        <w:jc w:val="both"/>
        <w:rPr>
          <w:sz w:val="22"/>
          <w:szCs w:val="22"/>
          <w:lang w:val="bg-BG"/>
        </w:rPr>
      </w:pPr>
    </w:p>
    <w:p w:rsidR="00B03B9A" w:rsidRDefault="00B03B9A">
      <w:pPr>
        <w:pStyle w:val="BodyTextIndent3"/>
      </w:pPr>
      <w:r>
        <w:t>В удостоверение на гореизложеното и с всички пълномощия за това, подписахме тази конвенция.</w:t>
      </w:r>
    </w:p>
    <w:p w:rsidR="00B03B9A" w:rsidRDefault="00B03B9A">
      <w:pPr>
        <w:ind w:left="360"/>
        <w:jc w:val="both"/>
        <w:rPr>
          <w:sz w:val="22"/>
          <w:szCs w:val="22"/>
          <w:lang w:val="bg-BG"/>
        </w:rPr>
      </w:pPr>
    </w:p>
    <w:p w:rsidR="00B03B9A" w:rsidRDefault="00B03B9A">
      <w:pPr>
        <w:ind w:left="360"/>
        <w:jc w:val="both"/>
        <w:rPr>
          <w:sz w:val="22"/>
          <w:szCs w:val="22"/>
          <w:lang w:val="bg-BG"/>
        </w:rPr>
      </w:pPr>
      <w:r>
        <w:rPr>
          <w:sz w:val="22"/>
          <w:szCs w:val="22"/>
          <w:lang w:val="bg-BG"/>
        </w:rPr>
        <w:t>Съставена в Страсбург на този 24-ти ден на ноември 1983 година на английски и френски език, като двата текста са еднообразни, в един екземпляр, който се депозира в архивите на Съвета на Европа. Генералният секретар на Съвета на Европа предава заверени екземпляри на всяка държава членка на Съвета на Европа и на всяка държава, поканена да се присъедини към Конвенцията.</w:t>
      </w:r>
    </w:p>
    <w:p w:rsidR="00B03B9A" w:rsidRDefault="00B03B9A">
      <w:pPr>
        <w:jc w:val="both"/>
        <w:rPr>
          <w:sz w:val="22"/>
          <w:szCs w:val="22"/>
          <w:lang w:val="bg-BG"/>
        </w:rPr>
      </w:pPr>
    </w:p>
    <w:p w:rsidR="00B03B9A" w:rsidRDefault="00B03B9A">
      <w:pPr>
        <w:rPr>
          <w:sz w:val="22"/>
          <w:lang w:val="bg-BG"/>
        </w:rPr>
      </w:pPr>
    </w:p>
    <w:sectPr w:rsidR="00B03B9A">
      <w:headerReference w:type="even" r:id="rId7"/>
      <w:headerReference w:type="default" r:id="rId8"/>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BD" w:rsidRDefault="003513BD">
      <w:r>
        <w:separator/>
      </w:r>
    </w:p>
  </w:endnote>
  <w:endnote w:type="continuationSeparator" w:id="0">
    <w:p w:rsidR="003513BD" w:rsidRDefault="0035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BD" w:rsidRDefault="003513BD">
      <w:r>
        <w:separator/>
      </w:r>
    </w:p>
  </w:footnote>
  <w:footnote w:type="continuationSeparator" w:id="0">
    <w:p w:rsidR="003513BD" w:rsidRDefault="0035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9A" w:rsidRDefault="00B03B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B9A" w:rsidRDefault="00B03B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9A" w:rsidRDefault="00B03B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D6E">
      <w:rPr>
        <w:rStyle w:val="PageNumber"/>
        <w:noProof/>
      </w:rPr>
      <w:t>1</w:t>
    </w:r>
    <w:r>
      <w:rPr>
        <w:rStyle w:val="PageNumber"/>
      </w:rPr>
      <w:fldChar w:fldCharType="end"/>
    </w:r>
  </w:p>
  <w:p w:rsidR="00B03B9A" w:rsidRDefault="00B03B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6AF"/>
    <w:multiLevelType w:val="hybridMultilevel"/>
    <w:tmpl w:val="EEE0A07C"/>
    <w:lvl w:ilvl="0" w:tplc="8982D1B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153C8"/>
    <w:multiLevelType w:val="hybridMultilevel"/>
    <w:tmpl w:val="B888B7BE"/>
    <w:lvl w:ilvl="0" w:tplc="8982D1B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17648"/>
    <w:multiLevelType w:val="hybridMultilevel"/>
    <w:tmpl w:val="F5F66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F463C"/>
    <w:multiLevelType w:val="hybridMultilevel"/>
    <w:tmpl w:val="5154539A"/>
    <w:lvl w:ilvl="0" w:tplc="8982D1B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2538E2"/>
    <w:multiLevelType w:val="hybridMultilevel"/>
    <w:tmpl w:val="D0C4964E"/>
    <w:lvl w:ilvl="0" w:tplc="C42450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BF26A0"/>
    <w:multiLevelType w:val="hybridMultilevel"/>
    <w:tmpl w:val="1688C482"/>
    <w:lvl w:ilvl="0" w:tplc="C42450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D23566"/>
    <w:multiLevelType w:val="hybridMultilevel"/>
    <w:tmpl w:val="84BC9D06"/>
    <w:lvl w:ilvl="0" w:tplc="C42450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9B2A9E"/>
    <w:multiLevelType w:val="hybridMultilevel"/>
    <w:tmpl w:val="6630AD3A"/>
    <w:lvl w:ilvl="0" w:tplc="8982D1B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70"/>
    <w:rsid w:val="00076D6E"/>
    <w:rsid w:val="000F0531"/>
    <w:rsid w:val="00280196"/>
    <w:rsid w:val="003513BD"/>
    <w:rsid w:val="003F2970"/>
    <w:rsid w:val="00B03B9A"/>
    <w:rsid w:val="00B275F9"/>
    <w:rsid w:val="00BE33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95EE0A-6334-4771-B0AF-B1904E87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paragraph" w:styleId="Heading1">
    <w:name w:val="heading 1"/>
    <w:basedOn w:val="Normal"/>
    <w:next w:val="Normal"/>
    <w:qFormat/>
    <w:pPr>
      <w:keepNext/>
      <w:jc w:val="both"/>
      <w:outlineLvl w:val="0"/>
    </w:pPr>
    <w:rPr>
      <w:b/>
      <w:bCs/>
      <w:sz w:val="22"/>
      <w:szCs w:val="22"/>
      <w:lang w:val="bg-BG"/>
    </w:rPr>
  </w:style>
  <w:style w:type="paragraph" w:styleId="Heading2">
    <w:name w:val="heading 2"/>
    <w:basedOn w:val="Normal"/>
    <w:next w:val="Normal"/>
    <w:qFormat/>
    <w:pPr>
      <w:keepNext/>
      <w:ind w:firstLine="708"/>
      <w:jc w:val="both"/>
      <w:outlineLvl w:val="1"/>
    </w:pPr>
    <w:rPr>
      <w:b/>
      <w:bCs/>
      <w:sz w:val="22"/>
      <w:szCs w:val="22"/>
      <w:lang w:val="bg-BG"/>
    </w:rPr>
  </w:style>
  <w:style w:type="paragraph" w:styleId="Heading3">
    <w:name w:val="heading 3"/>
    <w:basedOn w:val="Normal"/>
    <w:next w:val="Normal"/>
    <w:qFormat/>
    <w:pPr>
      <w:keepNext/>
      <w:jc w:val="center"/>
      <w:outlineLvl w:val="2"/>
    </w:pPr>
    <w:rPr>
      <w:b/>
      <w:bCs/>
      <w:sz w:val="22"/>
      <w:szCs w:val="22"/>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jc w:val="both"/>
    </w:pPr>
    <w:rPr>
      <w:sz w:val="22"/>
      <w:szCs w:val="22"/>
      <w:lang w:val="bg-BG"/>
    </w:rPr>
  </w:style>
  <w:style w:type="paragraph" w:styleId="BodyText">
    <w:name w:val="Body Text"/>
    <w:basedOn w:val="Normal"/>
    <w:pPr>
      <w:jc w:val="both"/>
    </w:pPr>
    <w:rPr>
      <w:sz w:val="22"/>
      <w:szCs w:val="22"/>
      <w:lang w:val="bg-BG"/>
    </w:rPr>
  </w:style>
  <w:style w:type="paragraph" w:styleId="BodyTextIndent2">
    <w:name w:val="Body Text Indent 2"/>
    <w:basedOn w:val="Normal"/>
    <w:pPr>
      <w:ind w:left="720" w:hanging="12"/>
      <w:jc w:val="both"/>
    </w:pPr>
    <w:rPr>
      <w:sz w:val="22"/>
      <w:szCs w:val="22"/>
      <w:lang w:val="bg-BG"/>
    </w:rPr>
  </w:style>
  <w:style w:type="paragraph" w:styleId="BodyTextIndent3">
    <w:name w:val="Body Text Indent 3"/>
    <w:basedOn w:val="Normal"/>
    <w:pPr>
      <w:ind w:left="360"/>
      <w:jc w:val="both"/>
    </w:pPr>
    <w:rPr>
      <w:sz w:val="22"/>
      <w:szCs w:val="22"/>
      <w:lang w:val="bg-BG"/>
    </w:rPr>
  </w:style>
  <w:style w:type="paragraph" w:styleId="BalloonText">
    <w:name w:val="Balloon Text"/>
    <w:basedOn w:val="Normal"/>
    <w:semiHidden/>
    <w:rsid w:val="003F2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ЕВРОПЕЙСКА КОНВЕНЦИЯ ЗА ОБЕЗЩЕТЯВАНЕ НА ЖЕРТВИТЕ НА ПРЕСТЪПЛЕНИЯ, ПРИДРУЖЕНИ С НАСИЛИЕ</vt:lpstr>
    </vt:vector>
  </TitlesOfParts>
  <Company>Ministry of justice</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ЕВРОПЕЙСКА КОНВЕНЦИЯ ЗА ОБЕЗЩЕТЯВАНЕ НА ЖЕРТВИТЕ НА ПРЕСТЪПЛЕНИЯ, ПРИДРУЖЕНИ С НАСИЛИЕ</dc:title>
  <dc:subject/>
  <dc:creator>peicho.peev</dc:creator>
  <cp:keywords/>
  <dc:description/>
  <cp:lastModifiedBy>Georgi Spasov</cp:lastModifiedBy>
  <cp:revision>2</cp:revision>
  <dcterms:created xsi:type="dcterms:W3CDTF">2015-06-22T08:31:00Z</dcterms:created>
  <dcterms:modified xsi:type="dcterms:W3CDTF">2015-06-22T08:31:00Z</dcterms:modified>
</cp:coreProperties>
</file>