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EFE"/>
  <w:body>
    <w:p w:rsidR="00000000" w:rsidRDefault="00B93510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СЕМЕЕН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КОДЕКС</w:t>
      </w:r>
    </w:p>
    <w:p w:rsidR="00000000" w:rsidRDefault="00B93510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01.10.2009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B93510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</w:t>
      </w:r>
      <w:bookmarkStart w:id="0" w:name="_GoBack"/>
      <w:bookmarkEnd w:id="0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.68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Принципи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семейство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БРАК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брак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встъпващите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брак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встъпване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брак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Пречки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брак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душевна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слабоумие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поколението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брака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брак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брака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възрастта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брак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Фамилно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съпрузите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ОТНОШЕНИ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СЪПРУЗИТЕ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Равенство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съпрузите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съпрузите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живеене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съпрузите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личността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семейс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твото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благополучието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СЪПРУЗИТЕ</w:t>
      </w: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отношения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съпрузите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общност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Съпружеска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общност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имущество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имущество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имущество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имущество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лище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съпружеската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общност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Дялове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съпрузите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съпруга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имущество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допринесъл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исковете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разделност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разделност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допринесъл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жилище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лзване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семейството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режим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Брачен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брачния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предбрачно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брачния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брачния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брачния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разваляне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брачния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Развалянето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Развалянето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Недействителн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брачния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БРАКА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смърт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умрял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брака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унищожаемостта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Предявяване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брака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двубрачие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двубрачие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оздравяването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оздравяването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оздравял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брака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щожаването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заченатите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Недобросъвестността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брака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непоправимо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съгласие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непоколебимо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съгласие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следниците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преживелия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преживелият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Фамилно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развода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Отпадане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наследяването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смърт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завещателят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завещателните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даренията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развода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Наемно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правоотношение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брачния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54 - 57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развода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привързаността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обкръжение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ПРОИЗХОД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майката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асистирана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претендира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претендира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асистирана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бащата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асистирана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бащинство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заченато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заченато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асистирана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бащинство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Припознаване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заченати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припознаването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припознаването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припознаването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недееспособност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майката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бащата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59.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произход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наследниците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Срокове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линия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родоначалник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Степени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родство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поколенията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поколенията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родоначалник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Сватовство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съберат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емоционална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Осиновяващ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възрастта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рожденото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роднини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Дядото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дядото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85.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Отбелязвания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заличавания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Съгласие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мнението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Оттегляне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съгласие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родителя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педагог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резидентен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ежеседмично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Подсъдност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решението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апелативния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Приложно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77 - 98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осиновяването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89.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Непълно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Рождените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Рождените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рождения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осиновяването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рождените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протестира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осиновяването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смърт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единственият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преживелият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овяването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преживял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иновител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прекратяването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Осиновяващ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Хагска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Хагската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Компетентност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121;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Посредничество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общественополезна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правосъдието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118.(1)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осиновяване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данните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посредничество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ДЕЦА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Родителски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обърнат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детето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възпитание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децата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възгледите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уронват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достойнството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живеене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142, 143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разногласие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чужбина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близки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Дядото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дядото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попечителско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съдействие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детето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душевна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отношения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131, 132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134.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Заместваща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грижа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неработоспособно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внуци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правнуци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внуци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правнуци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издръжката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ненавършилите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родители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пълнолетни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родители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бивш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Невиновният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бившия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парична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здръжка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прихващане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минало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издръжката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Изгубване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шестнадесетгодишна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присъдена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държавата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неизправния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неизправният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145.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Неизправният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взискател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ПОПЕЧИТЕЛСТВО</w:t>
      </w: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учредяване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попечителството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попечителство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запретеният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Настойнически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Попечител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Пречки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назначаване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недееспособните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160. (1)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попечителството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Съдействие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Местоживеене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настойничество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настойника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129.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тавения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настойничество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съветниците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настойническия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агополучия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изслушват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Местоживее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попечителство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попечителя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попечител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попечителя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попечителя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неотчетени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попечит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елство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четиринадесетгодишна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запрещение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83 - 88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неизправния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,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85, 132,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43, 76,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57,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85, 89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;"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7,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8,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13".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67,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71, 86,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118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74 - 76"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131, 132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134".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102".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ОБУЧЕНИЕ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15.09.2009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16, 20, 29, 30, 32, 33, 34, 35, 42, 44, §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65, 68, 70, 76, 80, 81, 90, 92, 96, §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4, 5,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§ 105,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§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4,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10, 11,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109, 110, 112, 113, §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§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§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§ 37, §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СЕМЕЙНИЯ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местопребиваване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19,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МЛАДЕЖТА</w:t>
      </w: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02.08.2013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9351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B93510" w:rsidRDefault="00B9351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B93510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95"/>
    <w:rsid w:val="005A6E95"/>
    <w:rsid w:val="00B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431606-6F60-42F6-82B1-7E08D22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17072</Words>
  <Characters>97313</Characters>
  <Application>Microsoft Office Word</Application>
  <DocSecurity>0</DocSecurity>
  <Lines>810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Spasov</dc:creator>
  <cp:keywords/>
  <dc:description/>
  <cp:lastModifiedBy>Georgi Spasov</cp:lastModifiedBy>
  <cp:revision>2</cp:revision>
  <dcterms:created xsi:type="dcterms:W3CDTF">2015-06-22T08:24:00Z</dcterms:created>
  <dcterms:modified xsi:type="dcterms:W3CDTF">2015-06-22T08:24:00Z</dcterms:modified>
</cp:coreProperties>
</file>